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C89" w:rsidRPr="00A37C89" w:rsidRDefault="00A37C89" w:rsidP="00A37C89">
      <w:r w:rsidRPr="00A37C89">
        <w:rPr>
          <w:b/>
          <w:bCs/>
        </w:rPr>
        <w:t>Этот прогноз прогнозирует рост ВВП в 2023 году на уровне 0,6% как в ЕС, так и в еврозоне. Это на 0,2 п. п. ниже прогнозируемого. В дальнейшем ожидается, что рост будет умеренно расти, поскольку реальные зарплаты будут расти, инвестиции останутся благоприятными.</w:t>
      </w:r>
    </w:p>
    <w:p w:rsidR="00A37C89" w:rsidRDefault="00A37C89"/>
    <w:sectPr w:rsidR="00A3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89"/>
    <w:rsid w:val="00A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3AC799-B814-1C40-9F78-46A7064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2024-11-22T07:03:00Z</dcterms:created>
  <dcterms:modified xsi:type="dcterms:W3CDTF">2024-11-22T07:03:00Z</dcterms:modified>
</cp:coreProperties>
</file>