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u w:val="single"/>
        </w:rPr>
      </w:pPr>
      <w:r w:rsidRPr="00514A2D">
        <w:rPr>
          <w:rFonts w:ascii="Times New Roman" w:eastAsia="Times New Roman" w:hAnsi="Times New Roman" w:cs="Times New Roman"/>
          <w:b/>
          <w:sz w:val="24"/>
          <w:szCs w:val="24"/>
          <w:u w:val="single"/>
        </w:rPr>
        <w:t>गैर-खुलाशी समझौता</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यह गैर-खुलासा समझौता नई दिल्ली में लागू किया जाता है और 01 अगस्त, 2022 (प्रभावी तिथि) से प्रभावी है।</w:t>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और के बीच</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एम/एस एबीसी, भारतीय साझेदारी अधिनियम, 1932 के तहत शामिल एक साझेदारी फर्म, जिसका पंजीकृत मुख्यालय सुइट 200, मेज़ानिन फ्लोर, सनराइज बिल्डिंग, नई दिल्ली, 110010 में है (जिसे आगे दिसक्लूसिंग पार्टी के रूप में जाना जाता है, जिसका शब्द, जब तक कि इसका अर्थ और संदर्भ इससे असंगत नहीं है, उसे अपने हित में उत्तराधिकारी और अनुमत</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और</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श्री अनुपम मल्होत्रा की बेटी टीना मल्होत्रा, ए-104, जल वैयु विहार, सेक्टर 59, नोएडा, 201301 (जिसे आगे पात्र पक्ष कहा जाता है, जिसका शब्द, जब तक इसका अर्थ और संदर्भ इससे असंगत नहीं होता, तब तक, अपने उत्तराधिकारियों और अनुमत असाइनमेंट को शामिल मानता है), दूसरे भाग का पक्ष है;</w:t>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इसके बाद खुलने वाले पक्ष और पहुंचने वाले पक्ष को व्यक्तिगत रूप से ऐसे या पक्ष के रूप में संदर्भित किया जाएगा, और सामूहिक रूप से पक्ष के रूप में संदर्भित किया जाएगा।</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r w:rsidRPr="00514A2D">
        <w:rPr>
          <w:rFonts w:ascii="Times New Roman" w:eastAsia="Times New Roman" w:hAnsi="Times New Roman" w:cs="Times New Roman"/>
          <w:b/>
          <w:sz w:val="24"/>
          <w:szCs w:val="24"/>
        </w:rPr>
      </w:r>
      <w:r w:rsidRPr="00514A2D">
        <w:rPr>
          <w:rFonts w:ascii="Times New Roman" w:eastAsia="Times New Roman" w:hAnsi="Times New Roman" w:cs="Times New Roman"/>
          <w:sz w:val="24"/>
          <w:szCs w:val="24"/>
        </w:rPr>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अब इसलिए पार्टियां इस प्रकार सहमत हैंः</w:t>
      </w:r>
    </w:p>
    <w:p w:rsidR="00F77F73" w:rsidRPr="00514A2D" w:rsidRDefault="00514A2D">
      <w:pPr>
        <w:pStyle w:val="normal0"/>
        <w:numPr>
          <w:ilvl w:val="0"/>
          <w:numId w:val="1"/>
        </w:numPr>
        <w:shd w:val="clear" w:color="auto" w:fill="FFFFFF"/>
        <w:spacing w:before="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उद्देश्य</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 xml:space="preserve">प्रकटीकरण पक्ष एक प्रतिष्ठित अचल संपत्ति कानून फर्म है जिसे प्राप्तकर्ता पक्ष ने भारत के नागपुर में एक गोदाम के अधिग्रहण के लिए कानूनी सलाह प्रदान करने के लिए नियुक्त किया है। </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प्रकटीकरण पक्ष भारत के नागपुर में एक गोदाम और उस भूमि पार्सल के समुचित परिश्रम के संबंध में स्थानीय सहायता और कानूनी सलाह देने के लिए प्राप्त करने वाले पक्ष को संलग्न करना चाहता है जिस पर उक्त गोदाम का निर्माण किया गया है (उद्देश्य), और इस उद्देश्य के लिए, प्रकटीकरण पक्ष इस खंड में निहित शर्तों और शर्तों के तहत कुछ गोपनीय जानकारी (जैसा कि खंड 2 में परिभाषित है) का</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b/>
          <w:sz w:val="24"/>
          <w:szCs w:val="24"/>
          <w:highlight w:val="white"/>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b/>
          <w:sz w:val="24"/>
          <w:szCs w:val="24"/>
          <w:highlight w:val="white"/>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highlight w:val="white"/>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संवेदी सूचना का परिभाषा</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रහස් जानकारी का अर्थ है जानकारी और रिकॉर्ड जो खुलासा करने वाले पक्ष द्वारा प्राप्त करने वाले पक्ष को, उद्देश्य को पूरा करने के लिए, प्रभावी तिथि के बाद, चाहे वह गोपनीय के रूप में चिह्नित हो या नहीं।</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गोपनीय सूचना का खुलासा नहीं करना और उसका उपयोग नहीं करना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प्राप्तकर्ता पक्ष सेवाओं के प्रावधान के उद्देश्य के दायरे में गोपनीय जानकारी का उपयोग करेगा और किसी अन्य उद्देश्य के लिए नहीं।</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प्राप्त करने वाले पक्ष को किसी तीसरे पक्ष को गोपनीय जानकारी का खुलासा नहीं करना चाहिए, सिवाय इसके कि वह खुलासा करने वाले पक्ष की पूर्व लिखित सहमति से।</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प्राप्त करने वाले पक्ष को गोपनीय जानकारी की प्रतियां नहीं बना सकती हैं, सिवाय इसके कि वह प्रकटीकरण करने वाले पक्ष की पूर्व लिखित सहमति से।</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गोपनीय सूचना का रिटर्न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प्रकटीकरण पक्ष द्वारा लिखित अनुरोध प्राप्त करने के बाद 7 (सात) व्यावसायिक दिनों के भीतर, प्राप्त करने वाले पक्ष को प्रकटीकरण पक्ष को सभी गोपनीय जानकारी और इसकी प्रतियां वापस लौटाएगी, सभी प्रकटीकरण पक्ष के एकमात्र विवेक पर।</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उपाय और उत्तरदायित्व</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प्राप्तकर्ता पक्ष को प्राप्तकर्ता पक्ष को किसी भी और सभी हानि, क्षति, मांग, दावा, कार्रवाई, दायित्व, शुल्क, लागत, व्यय, कार्यवाही आदि से अछूता और मुआवजा प्राप्तकर्ता पक्ष, उसके कर्मचारियों, सेवा प्रदाताओं, एजेंटों, श्रमिकों, सहयोगियों, आदि द्वारा या उसके कारण या उसके द्वारा या उसके संबंध में किसी भी गलत बयान और/या किसी भी दायित्व, जिम्मेदारी या संधि के उल्लंघन के कारण</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हस्ताक्षर नहीं</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इस समझौते को प्राप्त करने वाले पक्ष द्वारा पूर्व सहमति के बिना पूरी या आंशिक रूप से या अन्यथा हस्तांतरित नहीं किया जाएगा। </w:t>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अधिकारों का कोई अनुदान नहीं</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 समझौते में प्राप्त करने वाले पक्ष को गोपनीय जानकारी के संबंध में कोई अधिकार नहीं प्रदान करता है जिसमें बिना किसी सीमा के, सूचना देने वाले पक्ष द्वारा प्राप्त करने वाले पक्ष को किसी भी पेटेंट, पेटेंट आवेदन, उपयोगिता मॉडल, कॉपीराइट, मास्क वर्क अधिकार या किसी अन्य बौद्धिक संपदा अधिकार में किसी भी उत्पाद का उपयोग करके या लाइसेंस के रूप में गोपनीय जानकारी का उपयोग करने, बनाने, उपयोग करने या बेचने के लिए लाइसेंस प्रदान करना शामिल है</w:t>
      </w:r>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अवधि</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यह समझौता प्रभावी होने की तारीख से प्रभावी है और खंड 8.2 में निर्धारित अवधि के लिए मान्य है। पक्ष इस बात पर सहमत हैं कि इस समझौते की एक हस्ताक्षरित फैक्स या स्कैन की गई प्रति मूल हस्ताक्षरित समझौते के समान कानूनी रूप से बाध्यकारी है।</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यह समझौता और गोपनीय सूचना को गुप्त रखने का दायित्व प्रभावी होने की तारीख के बाद 2 (दो) वर्ष तक प्रभावी रहेगा। </w:t>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सामान्य प्रावधान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यह समझौता गोपनीय सूचना के प्रकटीकरण के संबंध में पार्टियों के संपूर्ण समझौते का गठन करता है और इस विषय से संबंधित सभी पूर्व या समकालीन मौखिक या लिखित समझौतों को बदल देता है। यह समझौता लिखित रूप में सहमत और दोनों पार्टियों द्वारा हस्ताक्षरित होने पर संशोधित किया जा सकता है।</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यदि किसी भी भाग को इस समझौते के अमान्य या निष्पादित नहीं होने योग्य घोषित किया जाए तो यह घोषणा शेष भाग की वैधता को प्रभावित नहीं करेगी।</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 समझौते के तहत पार्टियों के बीच कोई भी लिखित संचार केवल पंजीकृत डाक, ट्रैक किए गए कुरियर या हाथ से वितरण के माध्यम से इस समझौते के प्रस्ताव में दिए गए पते पर पार्टियों को भेजा जाएगा।</w:t>
      </w:r>
      <w:r w:rsidRPr="00514A2D">
        <w:rPr>
          <w:rFonts w:ascii="Times New Roman" w:eastAsia="Times New Roman" w:hAnsi="Times New Roman" w:cs="Times New Roman"/>
          <w:sz w:val="24"/>
          <w:szCs w:val="24"/>
        </w:rPr>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शासन कानून और विवाद समाधान</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 समझौते की वैधता, निष्पादन, निर्माण और प्रभाव को भारत के कानूनों द्वारा नियंत्रित किया जाएगा और इसमें पक्ष कानूनों के संघर्ष के सिद्धांतों को ध्यान में रखते हुए नई दिल्ली में अदालतों के विशेष अधिकार क्षेत्र के अधीन होंगे।</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 समझौते से उत्पन्न होने वाले या उसके संबंध में इस समझौते के बीच होने वाले सभी विवादों या मतभेदों के मामले में, पक्षों को इस विवाद को शांतिपूर्ण तरीके से हल करने के लिए बातचीत करने के लिए सभी उचित प्रयास करने होंगे।</w:t>
      </w:r>
      <w:r w:rsidRPr="00514A2D">
        <w:rPr>
          <w:rFonts w:ascii="Times New Roman" w:eastAsia="Times New Roman" w:hAnsi="Times New Roman" w:cs="Times New Roman"/>
          <w:sz w:val="24"/>
          <w:szCs w:val="24"/>
        </w:rPr>
      </w:r>
    </w:p>
    <w:p w:rsidR="00F77F73" w:rsidRPr="00514A2D" w:rsidRDefault="00514A2D">
      <w:pPr>
        <w:pStyle w:val="normal0"/>
        <w:numPr>
          <w:ilvl w:val="1"/>
          <w:numId w:val="1"/>
        </w:numPr>
        <w:shd w:val="clear" w:color="auto" w:fill="FFFFFF"/>
        <w:spacing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यदि कोई पक्ष दूसरे पक्ष को विवाद उत्पन्न होने की सूचना देता है (विवाद सूचना) और विवाद सूचना के 10 (दस) दिनों के भीतर विवाद को शांतिपूर्ण तरीके से हल नहीं कर सकते हैं (या ऐसी लंबी अवधि जो पक्ष पारस्परिक रूप से सहमत हो सकते हैं), तो विवाद को मध्यस्थता और मेलमिलाप अधिनियम, 1996 के प्रावधानों के अनुसार मध्यस्थता के लिए भेजा जाएगा मध्यस्थता कार्यवाही को एक एकल मध्यस्थ द्वारा किया जाएगा जिसे खुलासा करने वाले पक्ष द्वारा नियुक्त किया जाएगा मध्यस्थता का स्थान नई दिल्ली में होगा और मध्यस्थता कार्यवाही की भाषा अंग्रेजी होगी। (स)</w:t>
      </w:r>
      <w:r w:rsidRPr="00514A2D">
        <w:rPr>
          <w:rFonts w:ascii="Times New Roman" w:eastAsia="Times New Roman" w:hAnsi="Times New Roman" w:cs="Times New Roman"/>
          <w:sz w:val="24"/>
          <w:szCs w:val="24"/>
        </w:rPr>
      </w:r>
      <w:r w:rsidRPr="00514A2D">
        <w:rPr>
          <w:rFonts w:ascii="Times New Roman" w:eastAsia="Times New Roman" w:hAnsi="Times New Roman" w:cs="Times New Roman"/>
          <w:sz w:val="24"/>
          <w:szCs w:val="24"/>
          <w:highlight w:val="white"/>
        </w:rPr>
      </w:r>
      <w:r w:rsidRPr="00514A2D">
        <w:rPr>
          <w:rFonts w:ascii="Times New Roman" w:eastAsia="Times New Roman" w:hAnsi="Times New Roman" w:cs="Times New Roman"/>
          <w:sz w:val="24"/>
          <w:szCs w:val="24"/>
          <w:highlight w:val="white"/>
        </w:rPr>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इस बात की गवाही देकर, पक्षों ने उपरोक्त तिथि और वर्ष पर अपने अधिकृत प्रतिनिधियों द्वारा इस समझौते को निष्पादित किया है।</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tblPr>
      <w:tblGrid>
        <w:gridCol w:w="4515"/>
        <w:gridCol w:w="4845"/>
      </w:tblGrid>
      <w:tr w:rsidR="00F77F73" w:rsidRPr="00514A2D">
        <w:trPr>
          <w:cantSplit/>
          <w:trHeight w:val="1526"/>
          <w:tblHead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श्री राहुल खन्ना</w:t>
            </w:r>
            <w:proofErr w:type="spellStart"/>
            <w:r w:rsidRPr="00514A2D">
              <w:rPr>
                <w:rFonts w:ascii="Times New Roman" w:eastAsia="Times New Roman" w:hAnsi="Times New Roman" w:cs="Times New Roman"/>
                <w:sz w:val="24"/>
                <w:szCs w:val="24"/>
              </w:rPr>
            </w:r>
            <w:proofErr w:type="spellEnd"/>
            <w:r w:rsidRPr="00514A2D">
              <w:rPr>
                <w:rFonts w:ascii="Times New Roman" w:eastAsia="Times New Roman" w:hAnsi="Times New Roman" w:cs="Times New Roman"/>
                <w:sz w:val="24"/>
                <w:szCs w:val="24"/>
              </w:rPr>
            </w:r>
            <w:proofErr w:type="spellStart"/>
            <w:r w:rsidRPr="00514A2D">
              <w:rPr>
                <w:rFonts w:ascii="Times New Roman" w:eastAsia="Times New Roman" w:hAnsi="Times New Roman" w:cs="Times New Roman"/>
                <w:sz w:val="24"/>
                <w:szCs w:val="24"/>
              </w:rPr>
            </w:r>
            <w:proofErr w:type="spellEnd"/>
          </w:p>
          <w:p w:rsidR="00F77F73" w:rsidRPr="00514A2D" w:rsidRDefault="00514A2D">
            <w:pPr>
              <w:pStyle w:val="normal0"/>
              <w:spacing w:before="120" w:after="120"/>
              <w:ind w:left="100"/>
              <w:jc w:val="both"/>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एम/एस एबीसी के लिए और उसके नाम पर</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सुश्री टीना मल्होत्रा</w:t>
            </w:r>
            <w:proofErr w:type="spellStart"/>
            <w:r w:rsidRPr="00514A2D">
              <w:rPr>
                <w:rFonts w:ascii="Times New Roman" w:eastAsia="Times New Roman" w:hAnsi="Times New Roman" w:cs="Times New Roman"/>
                <w:sz w:val="24"/>
                <w:szCs w:val="24"/>
              </w:rPr>
            </w:r>
            <w:proofErr w:type="spellEnd"/>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r w:rsidR="00F77F73" w:rsidRPr="00514A2D">
        <w:trPr>
          <w:cantSplit/>
          <w:trHeight w:val="1192"/>
          <w:tblHead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साक्षी 1</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nil"/>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साक्षी 2</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bl>
    <w:p w:rsidR="00F77F73" w:rsidRPr="00514A2D" w:rsidRDefault="00F77F73">
      <w:pPr>
        <w:pStyle w:val="normal0"/>
        <w:shd w:val="clear" w:color="auto" w:fill="FFFFFF"/>
        <w:spacing w:before="240" w:after="240"/>
        <w:jc w:val="both"/>
        <w:rPr>
          <w:rFonts w:ascii="Times New Roman" w:eastAsia="Times New Roman" w:hAnsi="Times New Roman" w:cs="Times New Roman"/>
          <w:b/>
          <w:sz w:val="24"/>
          <w:szCs w:val="24"/>
          <w:u w:val="single"/>
        </w:rPr>
      </w:pPr>
    </w:p>
    <w:sectPr w:rsidR="00F77F73" w:rsidRPr="00514A2D" w:rsidSect="00F77F7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217"/>
    <w:multiLevelType w:val="multilevel"/>
    <w:tmpl w:val="4FF83A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73"/>
    <w:rsid w:val="00514A2D"/>
    <w:rsid w:val="00F77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77F73"/>
    <w:pPr>
      <w:keepNext/>
      <w:keepLines/>
      <w:spacing w:before="400" w:after="120"/>
      <w:outlineLvl w:val="0"/>
    </w:pPr>
    <w:rPr>
      <w:sz w:val="40"/>
      <w:szCs w:val="40"/>
    </w:rPr>
  </w:style>
  <w:style w:type="paragraph" w:styleId="Heading2">
    <w:name w:val="heading 2"/>
    <w:basedOn w:val="normal0"/>
    <w:next w:val="normal0"/>
    <w:rsid w:val="00F77F73"/>
    <w:pPr>
      <w:keepNext/>
      <w:keepLines/>
      <w:spacing w:before="360" w:after="120"/>
      <w:outlineLvl w:val="1"/>
    </w:pPr>
    <w:rPr>
      <w:sz w:val="32"/>
      <w:szCs w:val="32"/>
    </w:rPr>
  </w:style>
  <w:style w:type="paragraph" w:styleId="Heading3">
    <w:name w:val="heading 3"/>
    <w:basedOn w:val="normal0"/>
    <w:next w:val="normal0"/>
    <w:rsid w:val="00F77F73"/>
    <w:pPr>
      <w:keepNext/>
      <w:keepLines/>
      <w:spacing w:before="320" w:after="80"/>
      <w:outlineLvl w:val="2"/>
    </w:pPr>
    <w:rPr>
      <w:color w:val="434343"/>
      <w:sz w:val="28"/>
      <w:szCs w:val="28"/>
    </w:rPr>
  </w:style>
  <w:style w:type="paragraph" w:styleId="Heading4">
    <w:name w:val="heading 4"/>
    <w:basedOn w:val="normal0"/>
    <w:next w:val="normal0"/>
    <w:rsid w:val="00F77F73"/>
    <w:pPr>
      <w:keepNext/>
      <w:keepLines/>
      <w:spacing w:before="280" w:after="80"/>
      <w:outlineLvl w:val="3"/>
    </w:pPr>
    <w:rPr>
      <w:color w:val="666666"/>
      <w:sz w:val="24"/>
      <w:szCs w:val="24"/>
    </w:rPr>
  </w:style>
  <w:style w:type="paragraph" w:styleId="Heading5">
    <w:name w:val="heading 5"/>
    <w:basedOn w:val="normal0"/>
    <w:next w:val="normal0"/>
    <w:rsid w:val="00F77F73"/>
    <w:pPr>
      <w:keepNext/>
      <w:keepLines/>
      <w:spacing w:before="240" w:after="80"/>
      <w:outlineLvl w:val="4"/>
    </w:pPr>
    <w:rPr>
      <w:color w:val="666666"/>
    </w:rPr>
  </w:style>
  <w:style w:type="paragraph" w:styleId="Heading6">
    <w:name w:val="heading 6"/>
    <w:basedOn w:val="normal0"/>
    <w:next w:val="normal0"/>
    <w:rsid w:val="00F77F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F73"/>
  </w:style>
  <w:style w:type="paragraph" w:styleId="Title">
    <w:name w:val="Title"/>
    <w:basedOn w:val="normal0"/>
    <w:next w:val="normal0"/>
    <w:rsid w:val="00F77F73"/>
    <w:pPr>
      <w:keepNext/>
      <w:keepLines/>
      <w:spacing w:after="60"/>
    </w:pPr>
    <w:rPr>
      <w:sz w:val="52"/>
      <w:szCs w:val="52"/>
    </w:rPr>
  </w:style>
  <w:style w:type="paragraph" w:styleId="Subtitle">
    <w:name w:val="Subtitle"/>
    <w:basedOn w:val="normal0"/>
    <w:next w:val="normal0"/>
    <w:rsid w:val="00F77F73"/>
    <w:pPr>
      <w:keepNext/>
      <w:keepLines/>
      <w:spacing w:after="320"/>
    </w:pPr>
    <w:rPr>
      <w:color w:val="666666"/>
      <w:sz w:val="30"/>
      <w:szCs w:val="30"/>
    </w:rPr>
  </w:style>
  <w:style w:type="table" w:customStyle="1" w:styleId="a">
    <w:basedOn w:val="TableNormal"/>
    <w:rsid w:val="00F77F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Company>HP Inc.</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2022-09-07T11:21:00Z</dcterms:created>
  <dcterms:modified xsi:type="dcterms:W3CDTF">2022-09-07T11:21:00Z</dcterms:modified>
</cp:coreProperties>
</file>